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CF7D9" w14:textId="77777777" w:rsidR="00AE104B" w:rsidRDefault="00AE104B">
      <w:pPr>
        <w:jc w:val="both"/>
      </w:pPr>
    </w:p>
    <w:p w14:paraId="26BD4E6C" w14:textId="77777777" w:rsidR="00AE104B" w:rsidRDefault="00AE104B">
      <w:pPr>
        <w:jc w:val="both"/>
      </w:pPr>
    </w:p>
    <w:p w14:paraId="47765230" w14:textId="77777777" w:rsidR="00AE104B" w:rsidRDefault="00AE104B">
      <w:pPr>
        <w:jc w:val="both"/>
      </w:pPr>
    </w:p>
    <w:p w14:paraId="213BC3D2" w14:textId="77777777" w:rsidR="00AE104B" w:rsidRDefault="008C2803">
      <w:pPr>
        <w:pStyle w:val="Ttulo10"/>
        <w:spacing w:line="276" w:lineRule="auto"/>
        <w:rPr>
          <w:rFonts w:ascii="Calibri" w:hAnsi="Calibri" w:cs="Calibri"/>
          <w:color w:val="DF5B61"/>
          <w:sz w:val="72"/>
          <w:szCs w:val="72"/>
          <w:u w:val="none"/>
        </w:rPr>
      </w:pPr>
      <w:r>
        <w:rPr>
          <w:rFonts w:ascii="Calibri" w:hAnsi="Calibri" w:cs="Calibri"/>
          <w:color w:val="DF5B61"/>
          <w:sz w:val="72"/>
          <w:szCs w:val="72"/>
          <w:u w:val="none"/>
        </w:rPr>
        <w:t xml:space="preserve">INFORME ANUAL SOBRE TRANSPARENCIA Y ACCESO A LA INFORMACIÓN PÚBLICA </w:t>
      </w:r>
    </w:p>
    <w:p w14:paraId="0CD4149A" w14:textId="77777777" w:rsidR="00AE104B" w:rsidRDefault="008C2803">
      <w:pPr>
        <w:pStyle w:val="Ttulo10"/>
        <w:spacing w:line="276" w:lineRule="auto"/>
        <w:rPr>
          <w:rFonts w:ascii="Calibri" w:hAnsi="Calibri" w:cs="Calibri"/>
          <w:color w:val="DF5B61"/>
          <w:sz w:val="72"/>
          <w:szCs w:val="72"/>
          <w:u w:val="none"/>
        </w:rPr>
      </w:pPr>
      <w:r>
        <w:rPr>
          <w:rFonts w:ascii="Calibri" w:hAnsi="Calibri" w:cs="Calibri"/>
          <w:color w:val="DF5B61"/>
          <w:sz w:val="72"/>
          <w:szCs w:val="72"/>
          <w:u w:val="none"/>
        </w:rPr>
        <w:t>ANUALIDAD 2022</w:t>
      </w:r>
    </w:p>
    <w:p w14:paraId="3F270C19" w14:textId="77777777" w:rsidR="00AE104B" w:rsidRDefault="00AE104B">
      <w:pPr>
        <w:pStyle w:val="Textoindependiente"/>
        <w:rPr>
          <w:lang w:eastAsia="zh-CN"/>
        </w:rPr>
      </w:pPr>
    </w:p>
    <w:p w14:paraId="5807DEBE" w14:textId="77777777" w:rsidR="00AE104B" w:rsidRDefault="008C2803">
      <w:pPr>
        <w:pStyle w:val="For1"/>
        <w:jc w:val="center"/>
      </w:pPr>
      <w:bookmarkStart w:id="0" w:name="_Toc164669763"/>
      <w:bookmarkStart w:id="1" w:name="_Toc164669837"/>
      <w:bookmarkStart w:id="2" w:name="_Toc164760999"/>
      <w:r>
        <w:rPr>
          <w:sz w:val="60"/>
          <w:szCs w:val="60"/>
        </w:rPr>
        <w:t>FUNDACIÓN FORESTA</w:t>
      </w:r>
      <w:bookmarkEnd w:id="0"/>
      <w:bookmarkEnd w:id="1"/>
      <w:bookmarkEnd w:id="2"/>
    </w:p>
    <w:p w14:paraId="40F8F9B0" w14:textId="77777777" w:rsidR="00AE104B" w:rsidRDefault="00AE104B">
      <w:pPr>
        <w:jc w:val="both"/>
      </w:pPr>
    </w:p>
    <w:p w14:paraId="2A8FA689" w14:textId="77777777" w:rsidR="00AE104B" w:rsidRDefault="00AE104B">
      <w:pPr>
        <w:jc w:val="both"/>
      </w:pPr>
    </w:p>
    <w:p w14:paraId="63F4A830" w14:textId="77777777" w:rsidR="00AE104B" w:rsidRDefault="008C2803">
      <w:pPr>
        <w:jc w:val="both"/>
      </w:pPr>
      <w:r>
        <w:rPr>
          <w:noProof/>
          <w:color w:val="595959"/>
        </w:rPr>
        <w:drawing>
          <wp:anchor distT="0" distB="0" distL="114300" distR="114300" simplePos="0" relativeHeight="251663360" behindDoc="0" locked="0" layoutInCell="1" allowOverlap="1" wp14:anchorId="04EEAB4C" wp14:editId="532E3782">
            <wp:simplePos x="0" y="0"/>
            <wp:positionH relativeFrom="margin">
              <wp:align>center</wp:align>
            </wp:positionH>
            <wp:positionV relativeFrom="margin">
              <wp:posOffset>7896228</wp:posOffset>
            </wp:positionV>
            <wp:extent cx="1216023" cy="501648"/>
            <wp:effectExtent l="0" t="0" r="3177" b="0"/>
            <wp:wrapSquare wrapText="bothSides"/>
            <wp:docPr id="902307042"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60" t="-147" r="-60" b="-147"/>
                    <a:stretch>
                      <a:fillRect/>
                    </a:stretch>
                  </pic:blipFill>
                  <pic:spPr>
                    <a:xfrm>
                      <a:off x="0" y="0"/>
                      <a:ext cx="1216023" cy="501648"/>
                    </a:xfrm>
                    <a:prstGeom prst="rect">
                      <a:avLst/>
                    </a:prstGeom>
                    <a:solidFill>
                      <a:srgbClr val="FFFFFF">
                        <a:alpha val="0"/>
                      </a:srgbClr>
                    </a:solidFill>
                    <a:ln>
                      <a:noFill/>
                      <a:prstDash/>
                    </a:ln>
                  </pic:spPr>
                </pic:pic>
              </a:graphicData>
            </a:graphic>
          </wp:anchor>
        </w:drawing>
      </w:r>
    </w:p>
    <w:p w14:paraId="3BE53226" w14:textId="77777777" w:rsidR="00AE104B" w:rsidRDefault="00AE104B">
      <w:pPr>
        <w:jc w:val="both"/>
      </w:pPr>
    </w:p>
    <w:p w14:paraId="62C1A72E" w14:textId="77777777" w:rsidR="00AE104B" w:rsidRDefault="00AE104B">
      <w:pPr>
        <w:jc w:val="both"/>
      </w:pPr>
    </w:p>
    <w:p w14:paraId="3A378593" w14:textId="77777777" w:rsidR="00AE104B" w:rsidRDefault="00AE104B">
      <w:pPr>
        <w:jc w:val="both"/>
      </w:pPr>
    </w:p>
    <w:p w14:paraId="7F0C2786" w14:textId="77777777" w:rsidR="00AE104B" w:rsidRDefault="00AE104B">
      <w:pPr>
        <w:jc w:val="both"/>
      </w:pPr>
    </w:p>
    <w:p w14:paraId="105538B1" w14:textId="77777777" w:rsidR="00AE104B" w:rsidRDefault="00AE104B">
      <w:pPr>
        <w:jc w:val="both"/>
      </w:pPr>
    </w:p>
    <w:p w14:paraId="306C9F44" w14:textId="77777777" w:rsidR="00AE104B" w:rsidRDefault="00AE104B">
      <w:pPr>
        <w:jc w:val="both"/>
      </w:pPr>
    </w:p>
    <w:p w14:paraId="5226B9AF" w14:textId="77777777" w:rsidR="00AE104B" w:rsidRDefault="00AE104B">
      <w:pPr>
        <w:jc w:val="both"/>
      </w:pPr>
    </w:p>
    <w:p w14:paraId="32AE6171" w14:textId="77777777" w:rsidR="00AE104B" w:rsidRDefault="00AE104B">
      <w:pPr>
        <w:jc w:val="both"/>
      </w:pPr>
    </w:p>
    <w:p w14:paraId="66DCF0FC" w14:textId="77777777" w:rsidR="00AE104B" w:rsidRDefault="00AE104B">
      <w:pPr>
        <w:jc w:val="both"/>
      </w:pPr>
    </w:p>
    <w:p w14:paraId="4515D195" w14:textId="77777777" w:rsidR="00AE104B" w:rsidRDefault="00AE104B">
      <w:pPr>
        <w:jc w:val="both"/>
      </w:pPr>
    </w:p>
    <w:p w14:paraId="71161964" w14:textId="77777777" w:rsidR="00AE104B" w:rsidRDefault="00AE104B">
      <w:pPr>
        <w:jc w:val="both"/>
      </w:pPr>
    </w:p>
    <w:p w14:paraId="77D9107A" w14:textId="77777777" w:rsidR="00AE104B" w:rsidRDefault="00AE104B">
      <w:pPr>
        <w:jc w:val="both"/>
      </w:pPr>
    </w:p>
    <w:p w14:paraId="5D5A21F6" w14:textId="77777777" w:rsidR="00AE104B" w:rsidRDefault="00AE104B">
      <w:pPr>
        <w:jc w:val="both"/>
      </w:pPr>
    </w:p>
    <w:p w14:paraId="65D5CE21" w14:textId="77777777" w:rsidR="00AE104B" w:rsidRDefault="00AE104B">
      <w:pPr>
        <w:jc w:val="both"/>
      </w:pPr>
    </w:p>
    <w:p w14:paraId="5651BA2E" w14:textId="77777777" w:rsidR="00AE104B" w:rsidRDefault="00AE104B">
      <w:pPr>
        <w:jc w:val="both"/>
      </w:pPr>
    </w:p>
    <w:p w14:paraId="186049A9" w14:textId="77777777" w:rsidR="00AE104B" w:rsidRDefault="008C2803">
      <w:pPr>
        <w:spacing w:after="240" w:line="360" w:lineRule="auto"/>
        <w:jc w:val="center"/>
      </w:pPr>
      <w:r>
        <w:rPr>
          <w:rFonts w:eastAsia="Times New Roman" w:cs="Calibri"/>
          <w:b/>
          <w:color w:val="DF5B61"/>
          <w:sz w:val="40"/>
          <w:szCs w:val="40"/>
          <w:lang w:val="es-ES_tradnl" w:eastAsia="zh-CN"/>
        </w:rPr>
        <w:t xml:space="preserve">ÍNDICE </w:t>
      </w:r>
    </w:p>
    <w:p w14:paraId="40F68ECB" w14:textId="77777777" w:rsidR="00AE104B" w:rsidRDefault="008C2803">
      <w:pPr>
        <w:tabs>
          <w:tab w:val="right" w:leader="dot" w:pos="8838"/>
        </w:tabs>
        <w:spacing w:after="240" w:line="360" w:lineRule="auto"/>
        <w:jc w:val="center"/>
      </w:pPr>
      <w:r>
        <w:fldChar w:fldCharType="begin"/>
      </w:r>
      <w:r>
        <w:instrText xml:space="preserve"> TOC \o "1-3" \u \h </w:instrText>
      </w:r>
      <w:r>
        <w:fldChar w:fldCharType="separate"/>
      </w:r>
    </w:p>
    <w:p w14:paraId="4DD0D6A4" w14:textId="77777777" w:rsidR="00AE104B" w:rsidRDefault="00AE104B">
      <w:pPr>
        <w:pStyle w:val="TDC1"/>
        <w:tabs>
          <w:tab w:val="right" w:leader="dot" w:pos="8494"/>
        </w:tabs>
        <w:rPr>
          <w:rFonts w:eastAsia="Times New Roman"/>
          <w:kern w:val="3"/>
          <w:lang w:eastAsia="es-ES"/>
        </w:rPr>
      </w:pPr>
    </w:p>
    <w:p w14:paraId="5FC723B3" w14:textId="77777777" w:rsidR="00AE104B" w:rsidRDefault="007960FA">
      <w:pPr>
        <w:pStyle w:val="TDC1"/>
        <w:tabs>
          <w:tab w:val="right" w:leader="dot" w:pos="480"/>
          <w:tab w:val="right" w:leader="dot" w:pos="8494"/>
        </w:tabs>
      </w:pPr>
      <w:hyperlink w:anchor="_Toc164761000" w:history="1">
        <w:r w:rsidR="008C2803">
          <w:rPr>
            <w:rStyle w:val="Hipervnculo"/>
            <w:b/>
            <w:color w:val="595959"/>
            <w:w w:val="105"/>
          </w:rPr>
          <w:t>1.</w:t>
        </w:r>
        <w:r w:rsidR="008C2803">
          <w:rPr>
            <w:rFonts w:eastAsia="Times New Roman"/>
            <w:color w:val="595959"/>
            <w:kern w:val="3"/>
            <w:lang w:eastAsia="es-ES"/>
          </w:rPr>
          <w:tab/>
        </w:r>
        <w:r w:rsidR="008C2803">
          <w:rPr>
            <w:rStyle w:val="Hipervnculo"/>
            <w:b/>
            <w:color w:val="595959"/>
            <w:w w:val="105"/>
          </w:rPr>
          <w:t>INTRODUCCIÓN</w:t>
        </w:r>
        <w:r w:rsidR="008C2803">
          <w:rPr>
            <w:color w:val="595959"/>
          </w:rPr>
          <w:tab/>
          <w:t>3</w:t>
        </w:r>
      </w:hyperlink>
    </w:p>
    <w:p w14:paraId="75B166DC" w14:textId="77777777" w:rsidR="00AE104B" w:rsidRDefault="007960FA">
      <w:pPr>
        <w:pStyle w:val="TDC1"/>
        <w:tabs>
          <w:tab w:val="right" w:leader="dot" w:pos="480"/>
          <w:tab w:val="right" w:leader="dot" w:pos="8494"/>
        </w:tabs>
      </w:pPr>
      <w:hyperlink w:anchor="_Toc164761001" w:history="1">
        <w:r w:rsidR="008C2803">
          <w:rPr>
            <w:rStyle w:val="Hipervnculo"/>
            <w:b/>
            <w:color w:val="595959"/>
            <w:w w:val="105"/>
          </w:rPr>
          <w:t>2.</w:t>
        </w:r>
        <w:r w:rsidR="008C2803">
          <w:rPr>
            <w:rFonts w:eastAsia="Times New Roman"/>
            <w:color w:val="595959"/>
            <w:kern w:val="3"/>
            <w:lang w:eastAsia="es-ES"/>
          </w:rPr>
          <w:tab/>
        </w:r>
        <w:r w:rsidR="008C2803">
          <w:rPr>
            <w:rStyle w:val="Hipervnculo"/>
            <w:b/>
            <w:color w:val="595959"/>
            <w:w w:val="105"/>
          </w:rPr>
          <w:t>LA TRANSPARENCIA EN LA FUNDACIÓN FORESTA</w:t>
        </w:r>
        <w:r w:rsidR="008C2803">
          <w:rPr>
            <w:color w:val="595959"/>
          </w:rPr>
          <w:tab/>
          <w:t>3</w:t>
        </w:r>
      </w:hyperlink>
    </w:p>
    <w:p w14:paraId="31C40826" w14:textId="77777777" w:rsidR="00AE104B" w:rsidRDefault="007960FA">
      <w:pPr>
        <w:pStyle w:val="TDC1"/>
        <w:tabs>
          <w:tab w:val="right" w:leader="dot" w:pos="480"/>
          <w:tab w:val="right" w:leader="dot" w:pos="8494"/>
        </w:tabs>
      </w:pPr>
      <w:hyperlink w:anchor="_Toc164761002" w:history="1">
        <w:r w:rsidR="008C2803">
          <w:rPr>
            <w:rStyle w:val="Hipervnculo"/>
            <w:b/>
            <w:color w:val="595959"/>
            <w:w w:val="105"/>
          </w:rPr>
          <w:t>3.</w:t>
        </w:r>
        <w:r w:rsidR="008C2803">
          <w:rPr>
            <w:rFonts w:eastAsia="Times New Roman"/>
            <w:color w:val="595959"/>
            <w:kern w:val="3"/>
            <w:lang w:eastAsia="es-ES"/>
          </w:rPr>
          <w:tab/>
        </w:r>
        <w:r w:rsidR="008C2803">
          <w:rPr>
            <w:rStyle w:val="Hipervnculo"/>
            <w:b/>
            <w:color w:val="595959"/>
            <w:w w:val="105"/>
          </w:rPr>
          <w:t>TRANSPARENCIA ACTIVA</w:t>
        </w:r>
        <w:r w:rsidR="008C2803">
          <w:rPr>
            <w:color w:val="595959"/>
          </w:rPr>
          <w:tab/>
          <w:t>4</w:t>
        </w:r>
      </w:hyperlink>
    </w:p>
    <w:p w14:paraId="487967F4" w14:textId="77777777" w:rsidR="00AE104B" w:rsidRDefault="008C2803">
      <w:r>
        <w:fldChar w:fldCharType="end"/>
      </w:r>
    </w:p>
    <w:p w14:paraId="7495E6C9" w14:textId="77777777" w:rsidR="00AE104B" w:rsidRDefault="00AE104B">
      <w:pPr>
        <w:jc w:val="both"/>
        <w:rPr>
          <w:color w:val="595959"/>
        </w:rPr>
      </w:pPr>
    </w:p>
    <w:p w14:paraId="35C3A37B" w14:textId="77777777" w:rsidR="00AE104B" w:rsidRDefault="00AE104B">
      <w:pPr>
        <w:jc w:val="both"/>
        <w:rPr>
          <w:color w:val="595959"/>
        </w:rPr>
      </w:pPr>
    </w:p>
    <w:p w14:paraId="2D638645" w14:textId="77777777" w:rsidR="00AE104B" w:rsidRDefault="00AE104B">
      <w:pPr>
        <w:jc w:val="both"/>
        <w:rPr>
          <w:color w:val="595959"/>
        </w:rPr>
      </w:pPr>
    </w:p>
    <w:p w14:paraId="5E22BDB6" w14:textId="77777777" w:rsidR="00AE104B" w:rsidRDefault="00AE104B">
      <w:pPr>
        <w:jc w:val="both"/>
        <w:rPr>
          <w:color w:val="595959"/>
        </w:rPr>
      </w:pPr>
    </w:p>
    <w:p w14:paraId="75D4D53E" w14:textId="77777777" w:rsidR="00AE104B" w:rsidRDefault="00AE104B">
      <w:pPr>
        <w:jc w:val="both"/>
        <w:rPr>
          <w:color w:val="595959"/>
        </w:rPr>
      </w:pPr>
    </w:p>
    <w:p w14:paraId="01059B78" w14:textId="77777777" w:rsidR="00AE104B" w:rsidRDefault="00AE104B">
      <w:pPr>
        <w:jc w:val="both"/>
        <w:rPr>
          <w:color w:val="595959"/>
        </w:rPr>
      </w:pPr>
    </w:p>
    <w:p w14:paraId="4F2A0C75" w14:textId="77777777" w:rsidR="00AE104B" w:rsidRDefault="00AE104B">
      <w:pPr>
        <w:jc w:val="both"/>
      </w:pPr>
    </w:p>
    <w:p w14:paraId="1B2CB162" w14:textId="77777777" w:rsidR="00AE104B" w:rsidRDefault="00AE104B">
      <w:pPr>
        <w:jc w:val="both"/>
      </w:pPr>
    </w:p>
    <w:p w14:paraId="1C9DC97B" w14:textId="77777777" w:rsidR="00AE104B" w:rsidRDefault="00AE104B">
      <w:pPr>
        <w:jc w:val="both"/>
      </w:pPr>
    </w:p>
    <w:p w14:paraId="6C473518" w14:textId="77777777" w:rsidR="00AE104B" w:rsidRDefault="00AE104B">
      <w:pPr>
        <w:jc w:val="both"/>
      </w:pPr>
    </w:p>
    <w:p w14:paraId="02CCC984" w14:textId="77777777" w:rsidR="00AE104B" w:rsidRDefault="00AE104B">
      <w:pPr>
        <w:jc w:val="both"/>
      </w:pPr>
    </w:p>
    <w:p w14:paraId="055B80BC" w14:textId="77777777" w:rsidR="00AE104B" w:rsidRDefault="00AE104B">
      <w:pPr>
        <w:jc w:val="both"/>
      </w:pPr>
    </w:p>
    <w:p w14:paraId="22664D1F" w14:textId="77777777" w:rsidR="00AE104B" w:rsidRDefault="00AE104B">
      <w:pPr>
        <w:jc w:val="both"/>
      </w:pPr>
    </w:p>
    <w:p w14:paraId="49A957CC" w14:textId="77777777" w:rsidR="00AE104B" w:rsidRDefault="00AE104B">
      <w:pPr>
        <w:jc w:val="both"/>
      </w:pPr>
    </w:p>
    <w:p w14:paraId="009A0AE3" w14:textId="77777777" w:rsidR="00AE104B" w:rsidRDefault="00AE104B">
      <w:pPr>
        <w:jc w:val="both"/>
      </w:pPr>
    </w:p>
    <w:p w14:paraId="30A05320" w14:textId="77777777" w:rsidR="00AE104B" w:rsidRDefault="00AE104B">
      <w:pPr>
        <w:jc w:val="both"/>
      </w:pPr>
    </w:p>
    <w:p w14:paraId="11A1AFFF" w14:textId="77777777" w:rsidR="00AE104B" w:rsidRDefault="00AE104B">
      <w:pPr>
        <w:jc w:val="both"/>
      </w:pPr>
    </w:p>
    <w:p w14:paraId="02E97F8D" w14:textId="77777777" w:rsidR="00AE104B" w:rsidRDefault="00AE104B">
      <w:pPr>
        <w:jc w:val="both"/>
      </w:pPr>
    </w:p>
    <w:p w14:paraId="52CEFF01" w14:textId="77777777" w:rsidR="00AE104B" w:rsidRDefault="00AE104B">
      <w:pPr>
        <w:jc w:val="both"/>
      </w:pPr>
    </w:p>
    <w:p w14:paraId="6A19A317" w14:textId="77777777" w:rsidR="00AE104B" w:rsidRDefault="00AE104B">
      <w:pPr>
        <w:jc w:val="both"/>
      </w:pPr>
    </w:p>
    <w:p w14:paraId="74929AB8" w14:textId="77777777" w:rsidR="00AE104B" w:rsidRDefault="008C2803">
      <w:pPr>
        <w:pStyle w:val="Ttulo1"/>
        <w:numPr>
          <w:ilvl w:val="0"/>
          <w:numId w:val="1"/>
        </w:numPr>
        <w:spacing w:line="240" w:lineRule="auto"/>
        <w:ind w:left="284" w:hanging="284"/>
        <w:rPr>
          <w:rFonts w:ascii="Calibri" w:eastAsia="Calibri" w:hAnsi="Calibri"/>
          <w:b/>
          <w:color w:val="86AD45"/>
          <w:w w:val="105"/>
          <w:sz w:val="28"/>
          <w:szCs w:val="28"/>
        </w:rPr>
      </w:pPr>
      <w:bookmarkStart w:id="3" w:name="_Toc164761000"/>
      <w:r>
        <w:rPr>
          <w:rFonts w:ascii="Calibri" w:eastAsia="Calibri" w:hAnsi="Calibri"/>
          <w:b/>
          <w:color w:val="86AD45"/>
          <w:w w:val="105"/>
          <w:sz w:val="28"/>
          <w:szCs w:val="28"/>
        </w:rPr>
        <w:t>INTRODUCCIÓN</w:t>
      </w:r>
      <w:bookmarkEnd w:id="3"/>
    </w:p>
    <w:p w14:paraId="37467E3A" w14:textId="77777777" w:rsidR="00AE104B" w:rsidRDefault="00AE104B">
      <w:pPr>
        <w:jc w:val="both"/>
      </w:pPr>
    </w:p>
    <w:p w14:paraId="26655ACD" w14:textId="77777777" w:rsidR="00AE104B" w:rsidRDefault="008C2803">
      <w:pPr>
        <w:spacing w:line="360" w:lineRule="auto"/>
        <w:jc w:val="both"/>
        <w:rPr>
          <w:rFonts w:cs="Calibri"/>
          <w:color w:val="595959"/>
        </w:rPr>
      </w:pPr>
      <w:r>
        <w:rPr>
          <w:rFonts w:cs="Calibri"/>
          <w:color w:val="595959"/>
        </w:rPr>
        <w:t>La Fundación Foresta, se constituyó el 10 de diciembre de 1998, inscrita en el Registro de Fundaciones Canarias con el número 123.</w:t>
      </w:r>
    </w:p>
    <w:p w14:paraId="19593B3F" w14:textId="77777777" w:rsidR="00AE104B" w:rsidRDefault="008C2803">
      <w:pPr>
        <w:spacing w:line="360" w:lineRule="auto"/>
        <w:jc w:val="both"/>
        <w:rPr>
          <w:rFonts w:cs="Calibri"/>
          <w:color w:val="595959"/>
        </w:rPr>
      </w:pPr>
      <w:r>
        <w:rPr>
          <w:rFonts w:cs="Calibri"/>
          <w:color w:val="595959"/>
        </w:rPr>
        <w:t>Es un reto de la Fundación el lograr los mayores estándares de transparencia y su consecuencia práctica. La participación, es un principio fundamental y así lo entiende todos los patronos de esta Fundación. La Constitución española la incorpora a su texto en forma de derechos, algunos de ellos fundamentales y, por tanto, de la máxima importancia y protección: a) “A comunicar o recibir libremente información veraz por cualquier medio de difusión” (artículo 20.1.d). b) “(…) a participar en los asuntos públicos, directamente (…)” (artículo 23.1). c) “El acceso de los ciudadanos a los archivos y registros administrativos, salvo en lo que afecte a la seguridad y defensa del Estado, la averiguación de los delitos y la intimidad de las personas” (artículo 105.b). El contexto social y tecnológico de los últimos años no ha hecho sino demandar con más fuerza estos derechos, garantizados por la Ley 19/2013, de 9 de diciembre, de transparencia, acceso a la información pública y buen gobierno y la norma territorial citada.</w:t>
      </w:r>
    </w:p>
    <w:p w14:paraId="0F42B263" w14:textId="77777777" w:rsidR="00AE104B" w:rsidRDefault="00AE104B">
      <w:pPr>
        <w:spacing w:line="360" w:lineRule="auto"/>
        <w:jc w:val="both"/>
        <w:rPr>
          <w:rFonts w:cs="Calibri"/>
          <w:color w:val="595959"/>
        </w:rPr>
      </w:pPr>
    </w:p>
    <w:p w14:paraId="0CC232EB" w14:textId="77777777" w:rsidR="00AE104B" w:rsidRDefault="008C2803">
      <w:pPr>
        <w:pStyle w:val="Ttulo1"/>
        <w:numPr>
          <w:ilvl w:val="0"/>
          <w:numId w:val="1"/>
        </w:numPr>
        <w:spacing w:line="240" w:lineRule="auto"/>
        <w:ind w:left="284" w:hanging="284"/>
        <w:rPr>
          <w:rFonts w:ascii="Calibri" w:eastAsia="Calibri" w:hAnsi="Calibri"/>
          <w:b/>
          <w:color w:val="86AD45"/>
          <w:w w:val="105"/>
          <w:sz w:val="28"/>
          <w:szCs w:val="28"/>
        </w:rPr>
      </w:pPr>
      <w:bookmarkStart w:id="4" w:name="_Toc164761001"/>
      <w:r>
        <w:rPr>
          <w:rFonts w:ascii="Calibri" w:eastAsia="Calibri" w:hAnsi="Calibri"/>
          <w:b/>
          <w:color w:val="86AD45"/>
          <w:w w:val="105"/>
          <w:sz w:val="28"/>
          <w:szCs w:val="28"/>
        </w:rPr>
        <w:t>LA TRANSPARENCIA EN LA FUNDACIÓN FORESTA</w:t>
      </w:r>
      <w:bookmarkEnd w:id="4"/>
    </w:p>
    <w:p w14:paraId="112828A2" w14:textId="77777777" w:rsidR="00AE104B" w:rsidRDefault="00AE104B"/>
    <w:p w14:paraId="4CAB785D" w14:textId="0004C476" w:rsidR="00AE104B" w:rsidRDefault="008C2803">
      <w:pPr>
        <w:spacing w:line="360" w:lineRule="auto"/>
        <w:jc w:val="both"/>
        <w:rPr>
          <w:rFonts w:cs="Calibri"/>
          <w:color w:val="595959"/>
        </w:rPr>
      </w:pPr>
      <w:r>
        <w:rPr>
          <w:rFonts w:cs="Calibri"/>
          <w:color w:val="595959"/>
        </w:rPr>
        <w:t>En este período se ha continuado adecua</w:t>
      </w:r>
      <w:r w:rsidR="00D402A1">
        <w:rPr>
          <w:rFonts w:cs="Calibri"/>
          <w:color w:val="595959"/>
        </w:rPr>
        <w:t>n</w:t>
      </w:r>
      <w:r>
        <w:rPr>
          <w:rFonts w:cs="Calibri"/>
          <w:color w:val="595959"/>
        </w:rPr>
        <w:t xml:space="preserve">do toda la información que se dispone dándole un carácter público y con la mayor accesibilidad posible. Aspiramos a una gestión transparente donde los ciudadanos puedan fiscalizar todos los ámbitos. Nuestro compromiso es una nueva forma de entender la utilización de los recursos, de concienciación ante el cambio climático, de respeto y seguimiento de los valores ambientales, pero también de lograr una nueva forma de entender la relación con la ciudadanía que pasa por administrar cauces para la transparencia, la participación en la toma de decisiones y la colaboración y concreción en el desarrollo de instrumentos para el progreso social. </w:t>
      </w:r>
    </w:p>
    <w:p w14:paraId="69355363" w14:textId="77777777" w:rsidR="00AE104B" w:rsidRDefault="008C2803">
      <w:pPr>
        <w:spacing w:line="360" w:lineRule="auto"/>
        <w:jc w:val="both"/>
        <w:rPr>
          <w:rFonts w:cs="Calibri"/>
          <w:color w:val="595959"/>
        </w:rPr>
      </w:pPr>
      <w:r>
        <w:rPr>
          <w:rFonts w:cs="Calibri"/>
          <w:color w:val="595959"/>
        </w:rPr>
        <w:t xml:space="preserve">Se ha aprobado una instrucción para regular y clarificar el órgano competente en la gestión de la transparencia con protocolos que definan la forma de proceder, lo que nos permite tener los mecanismos de respuesta clarificados. </w:t>
      </w:r>
    </w:p>
    <w:p w14:paraId="3DCCE15F" w14:textId="32E57F03" w:rsidR="00AE104B" w:rsidRDefault="008C2803">
      <w:pPr>
        <w:spacing w:line="360" w:lineRule="auto"/>
        <w:jc w:val="both"/>
      </w:pPr>
      <w:r>
        <w:rPr>
          <w:rFonts w:cs="Calibri"/>
          <w:color w:val="595959"/>
        </w:rPr>
        <w:lastRenderedPageBreak/>
        <w:t xml:space="preserve">Destacamos también la elaboración y publicación de </w:t>
      </w:r>
      <w:r>
        <w:rPr>
          <w:rFonts w:cs="Calibri"/>
          <w:b/>
          <w:bCs/>
          <w:color w:val="595959"/>
        </w:rPr>
        <w:t xml:space="preserve">un Código de </w:t>
      </w:r>
      <w:r w:rsidR="00B7689D">
        <w:rPr>
          <w:rFonts w:cs="Calibri"/>
          <w:b/>
          <w:bCs/>
          <w:color w:val="595959"/>
        </w:rPr>
        <w:t>Ética y Conducta</w:t>
      </w:r>
      <w:r>
        <w:rPr>
          <w:rFonts w:cs="Calibri"/>
          <w:color w:val="595959"/>
        </w:rPr>
        <w:t xml:space="preserve"> con el objetivo de apostar por la transparencia y buen gobierno como criterios rectores. de su actividad. Y a ese propósito obedece ese Código de Buen Gobierno, en el que se recogen un conjunto de previsiones que recopilan las principales recomendaciones nacionales e internacionales en materia de buen gobierno. El objetivo es trasladar al funcionamiento de la Fundación los estándares del sector en materia de buenas prácticas de gobierno corporativo, donde sin duda la rendición de cuentas y transparencia es consustancial.</w:t>
      </w:r>
    </w:p>
    <w:p w14:paraId="77EEBC45" w14:textId="77777777" w:rsidR="00AE104B" w:rsidRDefault="008C2803">
      <w:pPr>
        <w:spacing w:line="360" w:lineRule="auto"/>
        <w:jc w:val="both"/>
        <w:rPr>
          <w:rFonts w:cs="Calibri"/>
          <w:color w:val="595959"/>
        </w:rPr>
      </w:pPr>
      <w:r>
        <w:rPr>
          <w:rFonts w:cs="Calibri"/>
          <w:color w:val="595959"/>
        </w:rPr>
        <w:t>Por otro lado, se asume un comportamiento ético, de máximo respeto a la ética y las leyes lo que deber de inspirar la conducta de los patronos y del personal de la Fundación, actuando con diligencia y buena fe, priorizando el cumplimiento de los fines fundacionales sobre cualesquiera otros.</w:t>
      </w:r>
    </w:p>
    <w:p w14:paraId="1CB99D34" w14:textId="4D122FC8" w:rsidR="00AE104B" w:rsidRDefault="008C2803">
      <w:pPr>
        <w:spacing w:line="360" w:lineRule="auto"/>
        <w:jc w:val="both"/>
      </w:pPr>
      <w:r>
        <w:rPr>
          <w:rFonts w:cs="Calibri"/>
          <w:color w:val="595959"/>
        </w:rPr>
        <w:t xml:space="preserve">Además, se han actualizado la </w:t>
      </w:r>
      <w:r>
        <w:rPr>
          <w:rFonts w:cs="Calibri"/>
          <w:b/>
          <w:bCs/>
          <w:color w:val="595959"/>
        </w:rPr>
        <w:t>Política Anticorrupción</w:t>
      </w:r>
      <w:r w:rsidR="00B7689D">
        <w:rPr>
          <w:rFonts w:cs="Calibri"/>
          <w:color w:val="595959"/>
        </w:rPr>
        <w:t>,</w:t>
      </w:r>
      <w:r>
        <w:rPr>
          <w:rFonts w:cs="Calibri"/>
          <w:color w:val="595959"/>
        </w:rPr>
        <w:t xml:space="preserve"> la de </w:t>
      </w:r>
      <w:r>
        <w:rPr>
          <w:rFonts w:cs="Calibri"/>
          <w:b/>
          <w:bCs/>
          <w:color w:val="595959"/>
        </w:rPr>
        <w:t>Calidad y Medio Ambiente</w:t>
      </w:r>
      <w:r w:rsidR="00B7689D">
        <w:rPr>
          <w:rFonts w:cs="Calibri"/>
          <w:color w:val="595959"/>
        </w:rPr>
        <w:t xml:space="preserve"> y los </w:t>
      </w:r>
      <w:r w:rsidR="00B7689D" w:rsidRPr="00B7689D">
        <w:rPr>
          <w:rFonts w:cs="Calibri"/>
          <w:b/>
          <w:bCs/>
          <w:color w:val="595959"/>
        </w:rPr>
        <w:t>Convenios y Contratos</w:t>
      </w:r>
      <w:r w:rsidR="00B7689D">
        <w:rPr>
          <w:rFonts w:cs="Calibri"/>
          <w:color w:val="595959"/>
        </w:rPr>
        <w:t xml:space="preserve"> de la Fundación </w:t>
      </w:r>
    </w:p>
    <w:p w14:paraId="17D08A5E" w14:textId="77777777" w:rsidR="00AE104B" w:rsidRDefault="008C2803">
      <w:pPr>
        <w:spacing w:line="360" w:lineRule="auto"/>
        <w:jc w:val="both"/>
        <w:rPr>
          <w:rFonts w:cs="Calibri"/>
          <w:color w:val="595959"/>
        </w:rPr>
      </w:pPr>
      <w:r>
        <w:rPr>
          <w:rFonts w:cs="Calibri"/>
          <w:color w:val="595959"/>
        </w:rPr>
        <w:t>No podemos olvidar, como ya hacíamos constar, que somos una Fundación con pocos recursos y destinados en su mayoría al fin fundacional, no obstante, intentaremos ir mejorando el Portal de Transparencia, y en el futuro contar con un diseño cada vez más intuitivo y fácil de navegar, donde forma clara y estructura se encuentre la información de esta Fundación.</w:t>
      </w:r>
    </w:p>
    <w:p w14:paraId="3658EDA6" w14:textId="77777777" w:rsidR="00AE104B" w:rsidRDefault="00AE104B">
      <w:pPr>
        <w:spacing w:line="360" w:lineRule="auto"/>
        <w:jc w:val="both"/>
        <w:rPr>
          <w:rFonts w:cs="Calibri"/>
          <w:color w:val="595959"/>
        </w:rPr>
      </w:pPr>
    </w:p>
    <w:p w14:paraId="0CA1C74F" w14:textId="77777777" w:rsidR="00AE104B" w:rsidRDefault="008C2803">
      <w:pPr>
        <w:pStyle w:val="Ttulo1"/>
        <w:numPr>
          <w:ilvl w:val="0"/>
          <w:numId w:val="1"/>
        </w:numPr>
        <w:spacing w:line="360" w:lineRule="auto"/>
        <w:ind w:left="284" w:hanging="284"/>
        <w:rPr>
          <w:rFonts w:ascii="Calibri" w:eastAsia="Calibri" w:hAnsi="Calibri"/>
          <w:b/>
          <w:color w:val="86AD45"/>
          <w:w w:val="105"/>
          <w:sz w:val="28"/>
          <w:szCs w:val="28"/>
        </w:rPr>
      </w:pPr>
      <w:bookmarkStart w:id="5" w:name="_Toc164761002"/>
      <w:r>
        <w:rPr>
          <w:rFonts w:ascii="Calibri" w:eastAsia="Calibri" w:hAnsi="Calibri"/>
          <w:b/>
          <w:color w:val="86AD45"/>
          <w:w w:val="105"/>
          <w:sz w:val="28"/>
          <w:szCs w:val="28"/>
        </w:rPr>
        <w:t>TRANSPARENCIA ACTIVA</w:t>
      </w:r>
      <w:bookmarkEnd w:id="5"/>
    </w:p>
    <w:p w14:paraId="3567D88C" w14:textId="77777777" w:rsidR="00AE104B" w:rsidRDefault="00AE104B">
      <w:pPr>
        <w:pStyle w:val="Default"/>
        <w:ind w:left="720"/>
      </w:pPr>
    </w:p>
    <w:p w14:paraId="6BEB4B33" w14:textId="77777777" w:rsidR="00AE104B" w:rsidRDefault="008C2803">
      <w:pPr>
        <w:spacing w:line="360" w:lineRule="auto"/>
        <w:jc w:val="both"/>
        <w:rPr>
          <w:rFonts w:cs="Calibri"/>
          <w:color w:val="595959"/>
        </w:rPr>
      </w:pPr>
      <w:r>
        <w:rPr>
          <w:rFonts w:cs="Calibri"/>
          <w:color w:val="595959"/>
        </w:rPr>
        <w:t>Esta entidad no ve la transparencia como una competición, si no como una obligación inherente a su propio funcionamiento.  Pero no podemos quedarnos aquí, la idea es ir mejorando en todos los sentidos, a finales del año 2021 se puso en funcionamiento un nuevo portal de transparencia, más visual, con mejor navegación para el ciudadano, accesible y mejorando en términos cuantitativos en todos los sentidos; portal que es actualizado regularmente o cuando las circunstancias lo aconsejen.</w:t>
      </w:r>
    </w:p>
    <w:p w14:paraId="3CB0C349" w14:textId="77777777" w:rsidR="00AE104B" w:rsidRDefault="008C2803">
      <w:pPr>
        <w:spacing w:line="360" w:lineRule="auto"/>
        <w:jc w:val="both"/>
        <w:rPr>
          <w:rFonts w:cs="Calibri"/>
          <w:color w:val="595959"/>
        </w:rPr>
      </w:pPr>
      <w:r>
        <w:rPr>
          <w:rFonts w:cs="Calibri"/>
          <w:color w:val="595959"/>
        </w:rPr>
        <w:t xml:space="preserve">En el período referido no hemos tenido ninguna solicitud de información, eso a nuestro juicio denota que todos los ciudadanos que quieren obtener información de nuestra Fundación se le muestra de forma activa. En este sentido destaca que la mayor parte de las visitas a nuestra página visualizan en el apartado de transparencia son en las memorias de este organismo donde se plasma toda la información de la entidad, proyectos realizados, objetivos, resumen contable detallado, etc. </w:t>
      </w:r>
    </w:p>
    <w:p w14:paraId="6440A6C0" w14:textId="77777777" w:rsidR="00AE104B" w:rsidRDefault="008C2803">
      <w:pPr>
        <w:spacing w:line="360" w:lineRule="auto"/>
        <w:jc w:val="both"/>
        <w:rPr>
          <w:rFonts w:cs="Calibri"/>
          <w:color w:val="595959"/>
        </w:rPr>
      </w:pPr>
      <w:r>
        <w:rPr>
          <w:rFonts w:cs="Calibri"/>
          <w:color w:val="595959"/>
        </w:rPr>
        <w:lastRenderedPageBreak/>
        <w:tab/>
        <w:t xml:space="preserve">El Código de Buen Gobierno aprobado es un refuerzo de la transparencia y buena gestión como principio rector de la Fundación. Un “buen gobierno” y no como aspiración idealizada, sino deseando hacer de sus preceptos en verdaderas leyes internas, eso sin duda afecta y en la transparencia, en esa rendición de cuentas a las que se somete esta Fundación Privada.  </w:t>
      </w:r>
    </w:p>
    <w:p w14:paraId="1F4A0EC9" w14:textId="77777777" w:rsidR="00AE104B" w:rsidRDefault="008C2803">
      <w:pPr>
        <w:spacing w:line="360" w:lineRule="auto"/>
        <w:jc w:val="both"/>
        <w:rPr>
          <w:rFonts w:cs="Calibri"/>
          <w:color w:val="595959"/>
        </w:rPr>
      </w:pPr>
      <w:r>
        <w:rPr>
          <w:rFonts w:cs="Calibri"/>
          <w:color w:val="595959"/>
        </w:rPr>
        <w:t xml:space="preserve">A su vez la Fundación cuenta con una Instrucción para definir claramente el órgano responsable de dar cumplimiento a la norma y otras peculiaridades en cuanto al derecho de acceso y contestación, lo que permite el más estricto cumplimiento de la normativa. </w:t>
      </w:r>
    </w:p>
    <w:p w14:paraId="7725F23C" w14:textId="77777777" w:rsidR="00AE104B" w:rsidRDefault="008C2803">
      <w:pPr>
        <w:spacing w:line="360" w:lineRule="auto"/>
        <w:jc w:val="both"/>
      </w:pPr>
      <w:r>
        <w:rPr>
          <w:rFonts w:cs="Calibri"/>
          <w:color w:val="595959"/>
        </w:rPr>
        <w:t>No obstante, cerramos este informe con la finalidad de seguir trabajando en la materia, mejorando todos los indicadores, así como realizar publicaciones en formatos reutilizables, marcando como hito próximo para el año que entra la existencia de nueva página web y un portal de transparencia más claro, dinámico y accesible en toda su información.</w:t>
      </w:r>
    </w:p>
    <w:p w14:paraId="05CAD100" w14:textId="77777777" w:rsidR="00AE104B" w:rsidRDefault="00AE104B">
      <w:pPr>
        <w:spacing w:line="360" w:lineRule="auto"/>
        <w:jc w:val="both"/>
        <w:rPr>
          <w:rFonts w:cs="Calibri"/>
          <w:color w:val="595959"/>
        </w:rPr>
      </w:pPr>
    </w:p>
    <w:p w14:paraId="50C0A160" w14:textId="3A725A80" w:rsidR="00AE104B" w:rsidRDefault="008C2803">
      <w:pPr>
        <w:spacing w:line="360" w:lineRule="auto"/>
        <w:jc w:val="right"/>
        <w:rPr>
          <w:rFonts w:cs="Calibri"/>
          <w:color w:val="595959"/>
        </w:rPr>
      </w:pPr>
      <w:r>
        <w:rPr>
          <w:rFonts w:cs="Calibri"/>
          <w:color w:val="595959"/>
        </w:rPr>
        <w:t xml:space="preserve">En Las Palmas de Gran Canaria a, </w:t>
      </w:r>
      <w:r w:rsidR="007960FA">
        <w:rPr>
          <w:rFonts w:cs="Calibri"/>
          <w:color w:val="595959"/>
        </w:rPr>
        <w:t>16</w:t>
      </w:r>
      <w:r>
        <w:rPr>
          <w:rFonts w:cs="Calibri"/>
          <w:color w:val="595959"/>
        </w:rPr>
        <w:t xml:space="preserve"> de </w:t>
      </w:r>
      <w:r w:rsidR="007960FA">
        <w:rPr>
          <w:rFonts w:cs="Calibri"/>
          <w:color w:val="595959"/>
        </w:rPr>
        <w:t>junio</w:t>
      </w:r>
      <w:r>
        <w:rPr>
          <w:rFonts w:cs="Calibri"/>
          <w:color w:val="595959"/>
        </w:rPr>
        <w:t xml:space="preserve"> de 202</w:t>
      </w:r>
      <w:r w:rsidR="00D402A1">
        <w:rPr>
          <w:rFonts w:cs="Calibri"/>
          <w:color w:val="595959"/>
        </w:rPr>
        <w:t>3</w:t>
      </w:r>
    </w:p>
    <w:p w14:paraId="08FBB872" w14:textId="77777777" w:rsidR="00AE104B" w:rsidRDefault="00AE104B">
      <w:pPr>
        <w:spacing w:line="360" w:lineRule="auto"/>
        <w:jc w:val="right"/>
        <w:rPr>
          <w:rFonts w:cs="Calibri"/>
          <w:color w:val="595959"/>
          <w:u w:val="single"/>
        </w:rPr>
      </w:pPr>
    </w:p>
    <w:p w14:paraId="3BDF955A" w14:textId="77777777" w:rsidR="00AE104B" w:rsidRDefault="00AE104B">
      <w:pPr>
        <w:spacing w:line="360" w:lineRule="auto"/>
        <w:jc w:val="both"/>
        <w:rPr>
          <w:rFonts w:cs="Calibri"/>
          <w:color w:val="595959"/>
        </w:rPr>
      </w:pPr>
    </w:p>
    <w:p w14:paraId="0B71706B" w14:textId="77777777" w:rsidR="00AE104B" w:rsidRDefault="00AE104B">
      <w:pPr>
        <w:tabs>
          <w:tab w:val="left" w:pos="2916"/>
        </w:tabs>
      </w:pPr>
    </w:p>
    <w:p w14:paraId="19F280BB" w14:textId="77777777" w:rsidR="00AE104B" w:rsidRDefault="00AE104B">
      <w:pPr>
        <w:tabs>
          <w:tab w:val="left" w:pos="2916"/>
        </w:tabs>
      </w:pPr>
    </w:p>
    <w:p w14:paraId="074140D5" w14:textId="77777777" w:rsidR="00AE104B" w:rsidRDefault="00AE104B">
      <w:pPr>
        <w:tabs>
          <w:tab w:val="left" w:pos="2916"/>
        </w:tabs>
      </w:pPr>
    </w:p>
    <w:p w14:paraId="6D60D603" w14:textId="77777777" w:rsidR="00AE104B" w:rsidRDefault="00AE104B">
      <w:pPr>
        <w:tabs>
          <w:tab w:val="left" w:pos="2916"/>
        </w:tabs>
      </w:pPr>
    </w:p>
    <w:p w14:paraId="36FF187E" w14:textId="77777777" w:rsidR="00AE104B" w:rsidRDefault="00AE104B">
      <w:pPr>
        <w:tabs>
          <w:tab w:val="left" w:pos="2916"/>
        </w:tabs>
      </w:pPr>
    </w:p>
    <w:p w14:paraId="735B66B9" w14:textId="77777777" w:rsidR="00AE104B" w:rsidRDefault="00AE104B">
      <w:pPr>
        <w:tabs>
          <w:tab w:val="left" w:pos="2916"/>
        </w:tabs>
      </w:pPr>
    </w:p>
    <w:p w14:paraId="1480B5F4" w14:textId="77777777" w:rsidR="00AE104B" w:rsidRDefault="00AE104B">
      <w:pPr>
        <w:tabs>
          <w:tab w:val="left" w:pos="2916"/>
        </w:tabs>
      </w:pPr>
    </w:p>
    <w:p w14:paraId="28D1171A" w14:textId="77777777" w:rsidR="00AE104B" w:rsidRDefault="00AE104B">
      <w:pPr>
        <w:tabs>
          <w:tab w:val="left" w:pos="2916"/>
        </w:tabs>
      </w:pPr>
    </w:p>
    <w:p w14:paraId="78700287" w14:textId="77777777" w:rsidR="00AE104B" w:rsidRDefault="00AE104B">
      <w:pPr>
        <w:tabs>
          <w:tab w:val="left" w:pos="2916"/>
        </w:tabs>
      </w:pPr>
    </w:p>
    <w:p w14:paraId="7C1DFD2F" w14:textId="77777777" w:rsidR="00AE104B" w:rsidRDefault="008C2803">
      <w:pPr>
        <w:tabs>
          <w:tab w:val="left" w:pos="2916"/>
        </w:tabs>
      </w:pPr>
      <w:r>
        <w:rPr>
          <w:noProof/>
        </w:rPr>
        <w:lastRenderedPageBreak/>
        <mc:AlternateContent>
          <mc:Choice Requires="wps">
            <w:drawing>
              <wp:anchor distT="0" distB="0" distL="114300" distR="114300" simplePos="0" relativeHeight="251660287" behindDoc="0" locked="0" layoutInCell="1" allowOverlap="1" wp14:anchorId="2F145935" wp14:editId="3AAF1E12">
                <wp:simplePos x="0" y="0"/>
                <wp:positionH relativeFrom="page">
                  <wp:align>right</wp:align>
                </wp:positionH>
                <wp:positionV relativeFrom="paragraph">
                  <wp:posOffset>-980437</wp:posOffset>
                </wp:positionV>
                <wp:extent cx="7543800" cy="10942323"/>
                <wp:effectExtent l="0" t="0" r="0" b="0"/>
                <wp:wrapNone/>
                <wp:docPr id="640563724" name="Rectángulo 1"/>
                <wp:cNvGraphicFramePr/>
                <a:graphic xmlns:a="http://schemas.openxmlformats.org/drawingml/2006/main">
                  <a:graphicData uri="http://schemas.microsoft.com/office/word/2010/wordprocessingShape">
                    <wps:wsp>
                      <wps:cNvSpPr/>
                      <wps:spPr>
                        <a:xfrm>
                          <a:off x="0" y="0"/>
                          <a:ext cx="7543800" cy="10942323"/>
                        </a:xfrm>
                        <a:prstGeom prst="rect">
                          <a:avLst/>
                        </a:prstGeom>
                        <a:solidFill>
                          <a:srgbClr val="E2F0D9"/>
                        </a:solidFill>
                        <a:ln cap="flat">
                          <a:noFill/>
                          <a:prstDash val="solid"/>
                        </a:ln>
                      </wps:spPr>
                      <wps:bodyPr lIns="0" tIns="0" rIns="0" bIns="0"/>
                    </wps:wsp>
                  </a:graphicData>
                </a:graphic>
              </wp:anchor>
            </w:drawing>
          </mc:Choice>
          <mc:Fallback>
            <w:pict>
              <v:rect w14:anchorId="2DBCEA09" id="Rectángulo 1" o:spid="_x0000_s1026" style="position:absolute;margin-left:542.8pt;margin-top:-77.2pt;width:594pt;height:861.6pt;z-index:251660287;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E9mAEAACwDAAAOAAAAZHJzL2Uyb0RvYy54bWysUk1v2zAMvQ/YfxB0X+w47dYacXpYlmLA&#10;sBVo9wMUWYoF6AukFif/fpTiJN16G3ahSIl84nvk8uHgLNsrQBN8x+ezmjPlZeiN33X858vmwx1n&#10;mITvhQ1edfyokD+s3r9bjrFVTRiC7RUwAvHYjrHjQ0qxrSqUg3ICZyEqT486gBOJQthVPYiR0J2t&#10;mrr+WI0B+ghBKkS6XZ8e+arga61k+qE1qsRsx6m3VCwUu822Wi1FuwMRByOnNsQ/dOGE8fTpBWot&#10;kmC/wLyBckZCwKDTTAZXBa2NVIUDsZnXf7F5HkRUhQuJg/EiE/4/WPl9/xyfgGQYI7ZIbmZx0ODy&#10;Sf2xQxHreBFLHRKTdPnp9mZxV5Omkt7m9f1Ns2gWWc/qWh8B06MKjmWn40DjKCqJ/TdMp9RzSv4O&#10;gzX9xlhbAthtP1tge0Gj+9Js6vX9hP5HmvVMClocbcUJ24eMUOaasdcChxNGKZsgrKc+r4yztw39&#10;8QmY/epJ3rwqZwfOznZycuO5gkZS2E7rk2f+Oi5Z1yVf/QYAAP//AwBQSwMEFAAGAAgAAAAhAFug&#10;hLDhAAAACwEAAA8AAABkcnMvZG93bnJldi54bWxMj0FLw0AQhe+C/2EZwVu7ibRlTbMpIogeBLEq&#10;tLdpdpsEs7Mhu01if73Tk95m5j3efC/fTK4Vg+1D40lDOk9AWCq9aajS8PnxNFMgQkQy2HqyGn5s&#10;gE1xfZVjZvxI73bYxkpwCIUMNdQxdpmUoaytwzD3nSXWjr53GHntK2l6HDnctfIuSVbSYUP8ocbO&#10;Pta2/N6enAbcU7Mf+vPX7mV8fgt4LM/39Kr17c30sAYR7RT/zHDBZ3QomOngT2SCaDVwkahhli4X&#10;CxAXPVWKbweeliulQBa5/N+h+AUAAP//AwBQSwECLQAUAAYACAAAACEAtoM4kv4AAADhAQAAEwAA&#10;AAAAAAAAAAAAAAAAAAAAW0NvbnRlbnRfVHlwZXNdLnhtbFBLAQItABQABgAIAAAAIQA4/SH/1gAA&#10;AJQBAAALAAAAAAAAAAAAAAAAAC8BAABfcmVscy8ucmVsc1BLAQItABQABgAIAAAAIQC7dxE9mAEA&#10;ACwDAAAOAAAAAAAAAAAAAAAAAC4CAABkcnMvZTJvRG9jLnhtbFBLAQItABQABgAIAAAAIQBboISw&#10;4QAAAAsBAAAPAAAAAAAAAAAAAAAAAPIDAABkcnMvZG93bnJldi54bWxQSwUGAAAAAAQABADzAAAA&#10;AAUAAAAA&#10;" fillcolor="#e2f0d9" stroked="f">
                <v:textbox inset="0,0,0,0"/>
                <w10:wrap anchorx="page"/>
              </v:rect>
            </w:pict>
          </mc:Fallback>
        </mc:AlternateContent>
      </w:r>
      <w:r>
        <w:rPr>
          <w:noProof/>
          <w:color w:val="595959"/>
        </w:rPr>
        <w:drawing>
          <wp:anchor distT="0" distB="0" distL="114300" distR="114300" simplePos="0" relativeHeight="251676672" behindDoc="0" locked="0" layoutInCell="1" allowOverlap="1" wp14:anchorId="6B216DE1" wp14:editId="7C814CAB">
            <wp:simplePos x="0" y="0"/>
            <wp:positionH relativeFrom="margin">
              <wp:align>left</wp:align>
            </wp:positionH>
            <wp:positionV relativeFrom="page">
              <wp:align>center</wp:align>
            </wp:positionV>
            <wp:extent cx="5355585" cy="2209062"/>
            <wp:effectExtent l="0" t="0" r="0" b="738"/>
            <wp:wrapSquare wrapText="bothSides"/>
            <wp:docPr id="562616028"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60" t="-146" r="-60" b="-146"/>
                    <a:stretch>
                      <a:fillRect/>
                    </a:stretch>
                  </pic:blipFill>
                  <pic:spPr>
                    <a:xfrm>
                      <a:off x="0" y="0"/>
                      <a:ext cx="5355585" cy="2209062"/>
                    </a:xfrm>
                    <a:prstGeom prst="rect">
                      <a:avLst/>
                    </a:prstGeom>
                    <a:solidFill>
                      <a:srgbClr val="FFFFFF">
                        <a:alpha val="0"/>
                      </a:srgbClr>
                    </a:solidFill>
                    <a:ln>
                      <a:noFill/>
                      <a:prstDash/>
                    </a:ln>
                  </pic:spPr>
                </pic:pic>
              </a:graphicData>
            </a:graphic>
          </wp:anchor>
        </w:drawing>
      </w:r>
    </w:p>
    <w:p w14:paraId="2586F5ED" w14:textId="77777777" w:rsidR="00AE104B" w:rsidRDefault="00AE104B">
      <w:pPr>
        <w:tabs>
          <w:tab w:val="left" w:pos="2916"/>
        </w:tabs>
      </w:pPr>
    </w:p>
    <w:p w14:paraId="459556B2" w14:textId="77777777" w:rsidR="00AE104B" w:rsidRDefault="00AE104B">
      <w:pPr>
        <w:tabs>
          <w:tab w:val="left" w:pos="2916"/>
        </w:tabs>
      </w:pPr>
    </w:p>
    <w:p w14:paraId="0D2BBD17" w14:textId="77777777" w:rsidR="00AE104B" w:rsidRDefault="00AE104B">
      <w:pPr>
        <w:tabs>
          <w:tab w:val="left" w:pos="2916"/>
        </w:tabs>
      </w:pPr>
    </w:p>
    <w:p w14:paraId="6201C756" w14:textId="77777777" w:rsidR="00AE104B" w:rsidRDefault="00AE104B">
      <w:pPr>
        <w:tabs>
          <w:tab w:val="left" w:pos="2916"/>
        </w:tabs>
      </w:pPr>
    </w:p>
    <w:p w14:paraId="79491FFB" w14:textId="77777777" w:rsidR="00AE104B" w:rsidRDefault="00AE104B">
      <w:pPr>
        <w:tabs>
          <w:tab w:val="left" w:pos="2916"/>
        </w:tabs>
      </w:pPr>
    </w:p>
    <w:p w14:paraId="055CD60D" w14:textId="77777777" w:rsidR="00AE104B" w:rsidRDefault="00AE104B">
      <w:pPr>
        <w:tabs>
          <w:tab w:val="left" w:pos="2916"/>
        </w:tabs>
      </w:pPr>
    </w:p>
    <w:p w14:paraId="558C598F" w14:textId="77777777" w:rsidR="00AE104B" w:rsidRDefault="00AE104B">
      <w:pPr>
        <w:tabs>
          <w:tab w:val="left" w:pos="2916"/>
        </w:tabs>
      </w:pPr>
    </w:p>
    <w:p w14:paraId="04549C91" w14:textId="77777777" w:rsidR="00AE104B" w:rsidRDefault="00AE104B">
      <w:pPr>
        <w:tabs>
          <w:tab w:val="left" w:pos="2916"/>
        </w:tabs>
      </w:pPr>
    </w:p>
    <w:p w14:paraId="3D072371" w14:textId="77777777" w:rsidR="00AE104B" w:rsidRDefault="00AE104B">
      <w:pPr>
        <w:tabs>
          <w:tab w:val="left" w:pos="2916"/>
        </w:tabs>
      </w:pPr>
    </w:p>
    <w:p w14:paraId="55E78BCD" w14:textId="77777777" w:rsidR="00AE104B" w:rsidRDefault="00AE104B">
      <w:pPr>
        <w:tabs>
          <w:tab w:val="left" w:pos="2916"/>
        </w:tabs>
      </w:pPr>
    </w:p>
    <w:p w14:paraId="2EEB2AF0" w14:textId="77777777" w:rsidR="00AE104B" w:rsidRDefault="00AE104B">
      <w:pPr>
        <w:tabs>
          <w:tab w:val="left" w:pos="2916"/>
        </w:tabs>
      </w:pPr>
    </w:p>
    <w:p w14:paraId="0EDB0F82" w14:textId="77777777" w:rsidR="00AE104B" w:rsidRDefault="00AE104B">
      <w:pPr>
        <w:tabs>
          <w:tab w:val="left" w:pos="2916"/>
        </w:tabs>
      </w:pPr>
    </w:p>
    <w:sectPr w:rsidR="00AE104B">
      <w:headerReference w:type="default" r:id="rId9"/>
      <w:footerReference w:type="default" r:id="rId10"/>
      <w:pgSz w:w="11906" w:h="16838"/>
      <w:pgMar w:top="1560" w:right="1701" w:bottom="1417"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E341B" w14:textId="77777777" w:rsidR="008C2803" w:rsidRDefault="008C2803">
      <w:pPr>
        <w:spacing w:after="0" w:line="240" w:lineRule="auto"/>
      </w:pPr>
      <w:r>
        <w:separator/>
      </w:r>
    </w:p>
  </w:endnote>
  <w:endnote w:type="continuationSeparator" w:id="0">
    <w:p w14:paraId="408AAD9C" w14:textId="77777777" w:rsidR="008C2803" w:rsidRDefault="008C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655C" w14:textId="77777777" w:rsidR="008C2803" w:rsidRDefault="008C2803">
    <w:pPr>
      <w:pStyle w:val="Piedepgina"/>
      <w:jc w:val="right"/>
    </w:pPr>
    <w:r>
      <w:rPr>
        <w:color w:val="7F7F7F"/>
        <w:sz w:val="20"/>
        <w:szCs w:val="20"/>
      </w:rPr>
      <w:fldChar w:fldCharType="begin"/>
    </w:r>
    <w:r>
      <w:rPr>
        <w:color w:val="7F7F7F"/>
        <w:sz w:val="20"/>
        <w:szCs w:val="20"/>
      </w:rPr>
      <w:instrText xml:space="preserve"> PAGE </w:instrText>
    </w:r>
    <w:r>
      <w:rPr>
        <w:color w:val="7F7F7F"/>
        <w:sz w:val="20"/>
        <w:szCs w:val="20"/>
      </w:rPr>
      <w:fldChar w:fldCharType="separate"/>
    </w:r>
    <w:r>
      <w:rPr>
        <w:color w:val="7F7F7F"/>
        <w:sz w:val="20"/>
        <w:szCs w:val="20"/>
      </w:rPr>
      <w:t>2</w:t>
    </w:r>
    <w:r>
      <w:rPr>
        <w:color w:val="7F7F7F"/>
        <w:sz w:val="20"/>
        <w:szCs w:val="20"/>
      </w:rPr>
      <w:fldChar w:fldCharType="end"/>
    </w:r>
  </w:p>
  <w:p w14:paraId="211A437B" w14:textId="77777777" w:rsidR="008C2803" w:rsidRDefault="008C28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63326" w14:textId="77777777" w:rsidR="008C2803" w:rsidRDefault="008C2803">
      <w:pPr>
        <w:spacing w:after="0" w:line="240" w:lineRule="auto"/>
      </w:pPr>
      <w:r>
        <w:rPr>
          <w:color w:val="000000"/>
        </w:rPr>
        <w:separator/>
      </w:r>
    </w:p>
  </w:footnote>
  <w:footnote w:type="continuationSeparator" w:id="0">
    <w:p w14:paraId="772770B6" w14:textId="77777777" w:rsidR="008C2803" w:rsidRDefault="008C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716BE" w14:textId="77777777" w:rsidR="008C2803" w:rsidRDefault="008C2803">
    <w:pPr>
      <w:pStyle w:val="Encabezado"/>
      <w:jc w:val="center"/>
    </w:pPr>
    <w:r>
      <w:rPr>
        <w:b/>
        <w:bCs/>
        <w:noProof/>
        <w:color w:val="595959"/>
      </w:rPr>
      <w:drawing>
        <wp:anchor distT="0" distB="0" distL="114300" distR="114300" simplePos="0" relativeHeight="251659264" behindDoc="0" locked="0" layoutInCell="1" allowOverlap="1" wp14:anchorId="41F80B7D" wp14:editId="63DD9BBD">
          <wp:simplePos x="0" y="0"/>
          <wp:positionH relativeFrom="margin">
            <wp:posOffset>4861563</wp:posOffset>
          </wp:positionH>
          <wp:positionV relativeFrom="margin">
            <wp:posOffset>-763267</wp:posOffset>
          </wp:positionV>
          <wp:extent cx="1216023" cy="501648"/>
          <wp:effectExtent l="0" t="0" r="3177" b="0"/>
          <wp:wrapSquare wrapText="bothSides"/>
          <wp:docPr id="29878604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0" t="-146" r="-60" b="-146"/>
                  <a:stretch>
                    <a:fillRect/>
                  </a:stretch>
                </pic:blipFill>
                <pic:spPr>
                  <a:xfrm>
                    <a:off x="0" y="0"/>
                    <a:ext cx="1216023" cy="501648"/>
                  </a:xfrm>
                  <a:prstGeom prst="rect">
                    <a:avLst/>
                  </a:prstGeom>
                  <a:solidFill>
                    <a:srgbClr val="FFFFFF">
                      <a:alpha val="0"/>
                    </a:srgbClr>
                  </a:solidFill>
                  <a:ln>
                    <a:noFill/>
                    <a:prstDash/>
                  </a:ln>
                </pic:spPr>
              </pic:pic>
            </a:graphicData>
          </a:graphic>
        </wp:anchor>
      </w:drawing>
    </w:r>
    <w:r>
      <w:rPr>
        <w:b/>
        <w:bCs/>
        <w:color w:val="595959"/>
      </w:rPr>
      <w:t>INFORME ANUAL SOBRE TRANSPARENCIA 2022</w:t>
    </w:r>
  </w:p>
  <w:p w14:paraId="5A4066D1" w14:textId="77777777" w:rsidR="008C2803" w:rsidRDefault="008C2803">
    <w:pPr>
      <w:pStyle w:val="Encabezado"/>
    </w:pPr>
    <w:r>
      <w:rPr>
        <w:noProof/>
        <w:color w:val="595959"/>
      </w:rPr>
      <mc:AlternateContent>
        <mc:Choice Requires="wps">
          <w:drawing>
            <wp:anchor distT="0" distB="0" distL="114300" distR="114300" simplePos="0" relativeHeight="251660288" behindDoc="0" locked="0" layoutInCell="1" allowOverlap="1" wp14:anchorId="47AC9FFD" wp14:editId="44829031">
              <wp:simplePos x="0" y="0"/>
              <wp:positionH relativeFrom="column">
                <wp:posOffset>0</wp:posOffset>
              </wp:positionH>
              <wp:positionV relativeFrom="paragraph">
                <wp:posOffset>251460</wp:posOffset>
              </wp:positionV>
              <wp:extent cx="6416043" cy="15243"/>
              <wp:effectExtent l="0" t="0" r="22857" b="22857"/>
              <wp:wrapNone/>
              <wp:docPr id="794944307" name="Conector recto de flecha 10"/>
              <wp:cNvGraphicFramePr/>
              <a:graphic xmlns:a="http://schemas.openxmlformats.org/drawingml/2006/main">
                <a:graphicData uri="http://schemas.microsoft.com/office/word/2010/wordprocessingShape">
                  <wps:wsp>
                    <wps:cNvCnPr/>
                    <wps:spPr>
                      <a:xfrm flipV="1">
                        <a:off x="0" y="0"/>
                        <a:ext cx="6416043" cy="15243"/>
                      </a:xfrm>
                      <a:prstGeom prst="straightConnector1">
                        <a:avLst/>
                      </a:prstGeom>
                      <a:noFill/>
                      <a:ln w="9528" cap="flat">
                        <a:solidFill>
                          <a:srgbClr val="DF5B61"/>
                        </a:solidFill>
                        <a:prstDash val="solid"/>
                        <a:round/>
                      </a:ln>
                    </wps:spPr>
                    <wps:bodyPr/>
                  </wps:wsp>
                </a:graphicData>
              </a:graphic>
            </wp:anchor>
          </w:drawing>
        </mc:Choice>
        <mc:Fallback>
          <w:pict>
            <v:shapetype w14:anchorId="6F62E6D1" id="_x0000_t32" coordsize="21600,21600" o:spt="32" o:oned="t" path="m,l21600,21600e" filled="f">
              <v:path arrowok="t" fillok="f" o:connecttype="none"/>
              <o:lock v:ext="edit" shapetype="t"/>
            </v:shapetype>
            <v:shape id="Conector recto de flecha 10" o:spid="_x0000_s1026" type="#_x0000_t32" style="position:absolute;margin-left:0;margin-top:19.8pt;width:505.2pt;height:1.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WpQEAADADAAAOAAAAZHJzL2Uyb0RvYy54bWysUk1v2zAMvQ/YfxB0X2xnTbAZcQosQXYZ&#10;tgLrdldkyRYgiwKpxsm/Hy1n6T5uRS8CJZJP7z1yc38evDgZJAehkdWilMIEDa0LXSN/PB7efZCC&#10;kgqt8hBMIy+G5P327ZvNGGuzhB58a1AwSKB6jI3sU4p1UZDuzaBoAdEETlrAQSW+Yle0qEZGH3yx&#10;LMt1MQK2EUEbIn7dz0m5zfjWGp2+WUsmCd9I5pbyifk8Tmex3ai6QxV7p6801AtYDMoF/vQGtVdJ&#10;iSd0/0ENTiMQ2LTQMBRgrdMma2A1VfmPmu+9iiZrYXMo3myi14PVX0+78IBswxippviAk4qzxUFY&#10;7+JPnmnWxUzFOdt2udlmzkloflzfVevy7r0UmnPVaskh4xUzzAQXkdJnA4OYgkZSQuW6Pu0gBB4Q&#10;4PyFOn2hNDf+bpiaAxyc93lOPoixkR9XS14qrXhbrFcp0yPwrp3qpg7C7rjzKE6Kh74/rD6tqyuh&#10;v8qmT/aK+rkup+Z1QHgK7UzEBxby7MwUHaG9ZMPyO48lS72u0DT3P++5+3nRt78AAAD//wMAUEsD&#10;BBQABgAIAAAAIQDclup+3gAAAAcBAAAPAAAAZHJzL2Rvd25yZXYueG1sTI/NTsMwEITvSLyDtUhc&#10;Kmo3lAhCNhVUKgcEBwrc3XhJIuJ1FDs/5elxT3AczWjmm3wz21aM1PvGMcJqqUAQl840XCF8vO+u&#10;bkH4oNno1jEhHMnDpjg/y3Vm3MRvNO5DJWIJ+0wj1CF0mZS+rMlqv3QdcfS+XG91iLKvpOn1FMtt&#10;KxOlUml1w3Gh1h1tayq/94NFmF63z8nuJixeHj/7JzMsmnT8OSJeXswP9yACzeEvDCf8iA5FZDq4&#10;gY0XLUI8EhCu71IQJ1et1BrEAWGdKJBFLv/zF78AAAD//wMAUEsBAi0AFAAGAAgAAAAhALaDOJL+&#10;AAAA4QEAABMAAAAAAAAAAAAAAAAAAAAAAFtDb250ZW50X1R5cGVzXS54bWxQSwECLQAUAAYACAAA&#10;ACEAOP0h/9YAAACUAQAACwAAAAAAAAAAAAAAAAAvAQAAX3JlbHMvLnJlbHNQSwECLQAUAAYACAAA&#10;ACEAmYTs1qUBAAAwAwAADgAAAAAAAAAAAAAAAAAuAgAAZHJzL2Uyb0RvYy54bWxQSwECLQAUAAYA&#10;CAAAACEA3Jbqft4AAAAHAQAADwAAAAAAAAAAAAAAAAD/AwAAZHJzL2Rvd25yZXYueG1sUEsFBgAA&#10;AAAEAAQA8wAAAAoFAAAAAA==&#10;" strokecolor="#df5b61" strokeweight=".26467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584E8E"/>
    <w:multiLevelType w:val="multilevel"/>
    <w:tmpl w:val="AC5A7398"/>
    <w:lvl w:ilvl="0">
      <w:start w:val="1"/>
      <w:numFmt w:val="decimal"/>
      <w:lvlText w:val="%1."/>
      <w:lvlJc w:val="left"/>
      <w:pPr>
        <w:ind w:left="720" w:hanging="360"/>
      </w:pPr>
      <w:rPr>
        <w:color w:val="DF5B61"/>
      </w:rPr>
    </w:lvl>
    <w:lvl w:ilvl="1">
      <w:start w:val="1"/>
      <w:numFmt w:val="decimal"/>
      <w:lvlText w:val="%1.%2"/>
      <w:lvlJc w:val="left"/>
      <w:pPr>
        <w:ind w:left="720" w:hanging="360"/>
      </w:pPr>
    </w:lvl>
    <w:lvl w:ilvl="2">
      <w:start w:val="1"/>
      <w:numFmt w:val="decimal"/>
      <w:lvlText w:val="%1.%2.%3"/>
      <w:lvlJc w:val="left"/>
      <w:pPr>
        <w:ind w:left="1080" w:hanging="720"/>
      </w:pPr>
      <w:rPr>
        <w:color w:val="DF5B61"/>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1949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4B"/>
    <w:rsid w:val="007960FA"/>
    <w:rsid w:val="008C2803"/>
    <w:rsid w:val="00AE104B"/>
    <w:rsid w:val="00B7689D"/>
    <w:rsid w:val="00D40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37DA"/>
  <w15:docId w15:val="{06A06D2C-E58C-41CC-AD29-B4481ED3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 1"/>
    <w:basedOn w:val="Ttulo1"/>
    <w:pPr>
      <w:spacing w:line="240" w:lineRule="auto"/>
    </w:pPr>
    <w:rPr>
      <w:rFonts w:ascii="Calibri" w:eastAsia="Calibri" w:hAnsi="Calibri"/>
      <w:b/>
      <w:color w:val="86AD45"/>
      <w:w w:val="105"/>
      <w:sz w:val="28"/>
      <w:szCs w:val="28"/>
    </w:rPr>
  </w:style>
  <w:style w:type="character" w:customStyle="1" w:styleId="Ttulo1Car">
    <w:name w:val="Título 1 Car"/>
    <w:basedOn w:val="Fuentedeprrafopredeter"/>
    <w:rPr>
      <w:rFonts w:ascii="Calibri Light" w:eastAsia="Times New Roman" w:hAnsi="Calibri Light" w:cs="Times New Roman"/>
      <w:color w:val="2F5496"/>
      <w:sz w:val="32"/>
      <w:szCs w:val="32"/>
    </w:rPr>
  </w:style>
  <w:style w:type="paragraph" w:customStyle="1" w:styleId="Tit2">
    <w:name w:val="Tit 2"/>
    <w:basedOn w:val="Ttulo2"/>
    <w:pPr>
      <w:spacing w:line="240" w:lineRule="auto"/>
    </w:pPr>
    <w:rPr>
      <w:rFonts w:eastAsia="Calibri"/>
      <w:b/>
      <w:bCs/>
      <w:color w:val="86AD45"/>
    </w:rPr>
  </w:style>
  <w:style w:type="character" w:customStyle="1" w:styleId="Ttulo2Car">
    <w:name w:val="Título 2 Car"/>
    <w:basedOn w:val="Fuentedeprrafopredeter"/>
    <w:rPr>
      <w:rFonts w:ascii="Calibri Light" w:eastAsia="Times New Roman" w:hAnsi="Calibri Light" w:cs="Times New Roman"/>
      <w:color w:val="2F5496"/>
      <w:sz w:val="26"/>
      <w:szCs w:val="26"/>
    </w:rPr>
  </w:style>
  <w:style w:type="paragraph" w:customStyle="1" w:styleId="For1">
    <w:name w:val="For 1"/>
    <w:basedOn w:val="Ttulo1"/>
    <w:pPr>
      <w:spacing w:line="240" w:lineRule="auto"/>
    </w:pPr>
    <w:rPr>
      <w:rFonts w:ascii="Calibri" w:eastAsia="Calibri" w:hAnsi="Calibri"/>
      <w:b/>
      <w:color w:val="86AD45"/>
      <w:w w:val="105"/>
      <w:sz w:val="28"/>
      <w:szCs w:val="28"/>
    </w:rPr>
  </w:style>
  <w:style w:type="character" w:customStyle="1" w:styleId="For1Car">
    <w:name w:val="For 1 Car"/>
    <w:basedOn w:val="Ttulo1Car"/>
    <w:rPr>
      <w:rFonts w:ascii="Calibri" w:eastAsia="Calibri" w:hAnsi="Calibri" w:cs="Times New Roman"/>
      <w:b/>
      <w:color w:val="86AD45"/>
      <w:w w:val="105"/>
      <w:sz w:val="28"/>
      <w:szCs w:val="28"/>
    </w:rPr>
  </w:style>
  <w:style w:type="paragraph" w:customStyle="1" w:styleId="For2">
    <w:name w:val="For 2"/>
    <w:basedOn w:val="Ttulo2"/>
    <w:pPr>
      <w:spacing w:before="360" w:after="120" w:line="276" w:lineRule="auto"/>
    </w:pPr>
    <w:rPr>
      <w:rFonts w:eastAsia="Calibri" w:cs="Calibri Light"/>
      <w:color w:val="DF5B61"/>
      <w:sz w:val="24"/>
      <w:szCs w:val="32"/>
    </w:rPr>
  </w:style>
  <w:style w:type="character" w:customStyle="1" w:styleId="For2Car">
    <w:name w:val="For 2 Car"/>
    <w:basedOn w:val="Ttulo2Car"/>
    <w:rPr>
      <w:rFonts w:ascii="Calibri Light" w:eastAsia="Times New Roman" w:hAnsi="Calibri Light" w:cs="Calibri Light"/>
      <w:color w:val="DF5B61"/>
      <w:sz w:val="24"/>
      <w:szCs w:val="32"/>
    </w:rPr>
  </w:style>
  <w:style w:type="paragraph" w:styleId="Prrafodelista">
    <w:name w:val="List Paragraph"/>
    <w:basedOn w:val="Normal"/>
    <w:pPr>
      <w:ind w:left="720"/>
    </w:pPr>
  </w:style>
  <w:style w:type="paragraph" w:customStyle="1" w:styleId="Ttulo10">
    <w:name w:val="Título1"/>
    <w:basedOn w:val="Normal"/>
    <w:next w:val="Textoindependiente"/>
    <w:pPr>
      <w:spacing w:after="240" w:line="360" w:lineRule="auto"/>
      <w:jc w:val="center"/>
    </w:pPr>
    <w:rPr>
      <w:rFonts w:ascii="Times New Roman" w:eastAsia="Times New Roman" w:hAnsi="Times New Roman"/>
      <w:b/>
      <w:bCs/>
      <w:sz w:val="24"/>
      <w:szCs w:val="20"/>
      <w:u w:val="single"/>
      <w:lang w:eastAsia="zh-CN"/>
    </w:rPr>
  </w:style>
  <w:style w:type="paragraph" w:styleId="Textoindependiente">
    <w:name w:val="Body Text"/>
    <w:basedOn w:val="Normal"/>
    <w:pPr>
      <w:spacing w:after="120"/>
    </w:pPr>
  </w:style>
  <w:style w:type="character" w:customStyle="1" w:styleId="TextoindependienteCar">
    <w:name w:val="Texto independiente Car"/>
    <w:basedOn w:val="Fuentedeprrafopredete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styleId="TtuloTDC">
    <w:name w:val="TOC Heading"/>
    <w:basedOn w:val="Ttulo1"/>
    <w:next w:val="Normal"/>
    <w:rPr>
      <w:lang w:eastAsia="es-ES"/>
    </w:rPr>
  </w:style>
  <w:style w:type="paragraph" w:styleId="TDC1">
    <w:name w:val="toc 1"/>
    <w:basedOn w:val="Normal"/>
    <w:next w:val="Normal"/>
    <w:autoRedefine/>
    <w:pPr>
      <w:spacing w:after="100"/>
    </w:pPr>
  </w:style>
  <w:style w:type="paragraph" w:styleId="TDC2">
    <w:name w:val="toc 2"/>
    <w:basedOn w:val="Normal"/>
    <w:next w:val="Normal"/>
    <w:autoRedefine/>
    <w:pPr>
      <w:tabs>
        <w:tab w:val="right" w:leader="dot" w:pos="8494"/>
      </w:tabs>
      <w:spacing w:after="100"/>
      <w:ind w:left="220"/>
    </w:pPr>
    <w:rPr>
      <w:rFonts w:cs="Calibri"/>
      <w:color w:val="595959"/>
    </w:rPr>
  </w:style>
  <w:style w:type="character" w:styleId="Hipervnculo">
    <w:name w:val="Hyperlink"/>
    <w:basedOn w:val="Fuentedeprrafopredeter"/>
    <w:rPr>
      <w:color w:val="0563C1"/>
      <w:u w:val="single"/>
    </w:rPr>
  </w:style>
  <w:style w:type="paragraph" w:styleId="TDC3">
    <w:name w:val="toc 3"/>
    <w:basedOn w:val="Normal"/>
    <w:next w:val="Normal"/>
    <w:autoRedefine/>
    <w:pPr>
      <w:spacing w:after="100" w:line="240" w:lineRule="auto"/>
      <w:ind w:left="480"/>
    </w:pPr>
    <w:rPr>
      <w:rFonts w:ascii="Arial" w:hAnsi="Arial"/>
      <w:sz w:val="24"/>
      <w:szCs w:val="24"/>
    </w:rPr>
  </w:style>
  <w:style w:type="character" w:customStyle="1" w:styleId="control-label">
    <w:name w:val="control-label"/>
    <w:basedOn w:val="Fuentedeprrafopredeter"/>
  </w:style>
  <w:style w:type="paragraph" w:customStyle="1" w:styleId="Default">
    <w:name w:val="Default"/>
    <w:pPr>
      <w:suppressAutoHyphens/>
      <w:autoSpaceDE w:val="0"/>
      <w:spacing w:after="0" w:line="240" w:lineRule="auto"/>
    </w:pPr>
    <w:rPr>
      <w:rFonts w:cs="Calibri"/>
      <w:color w:val="000000"/>
      <w:sz w:val="24"/>
      <w:szCs w:val="24"/>
    </w:rPr>
  </w:style>
  <w:style w:type="paragraph" w:customStyle="1" w:styleId="Fore1">
    <w:name w:val="Fore 1"/>
    <w:basedOn w:val="Sinespaciado"/>
    <w:next w:val="Normal"/>
    <w:pPr>
      <w:widowControl w:val="0"/>
      <w:tabs>
        <w:tab w:val="left" w:pos="0"/>
      </w:tabs>
      <w:spacing w:before="240" w:after="240"/>
      <w:outlineLvl w:val="1"/>
    </w:pPr>
    <w:rPr>
      <w:rFonts w:ascii="Arial" w:hAnsi="Arial" w:cs="Calibri Light"/>
      <w:b/>
      <w:color w:val="DF5B61"/>
      <w:sz w:val="24"/>
      <w:szCs w:val="26"/>
    </w:rPr>
  </w:style>
  <w:style w:type="character" w:customStyle="1" w:styleId="Fore1Car">
    <w:name w:val="Fore 1 Car"/>
    <w:basedOn w:val="Ttulo2Car"/>
    <w:rPr>
      <w:rFonts w:ascii="Arial" w:eastAsia="Calibri" w:hAnsi="Arial" w:cs="Calibri Light"/>
      <w:b/>
      <w:color w:val="DF5B61"/>
      <w:sz w:val="24"/>
      <w:szCs w:val="26"/>
    </w:rPr>
  </w:style>
  <w:style w:type="paragraph" w:styleId="Sinespaciado">
    <w:name w:val="No Spacing"/>
    <w:pPr>
      <w:suppressAutoHyphens/>
      <w:spacing w:after="0" w:line="240" w:lineRule="auto"/>
    </w:pPr>
  </w:style>
  <w:style w:type="paragraph" w:customStyle="1" w:styleId="Fore3">
    <w:name w:val="Fore 3"/>
    <w:basedOn w:val="Fore1"/>
    <w:pPr>
      <w:outlineLvl w:val="2"/>
    </w:pPr>
    <w:rPr>
      <w:rFonts w:cs="Times New Roman"/>
      <w:w w:val="105"/>
      <w:szCs w:val="28"/>
    </w:rPr>
  </w:style>
  <w:style w:type="character" w:customStyle="1" w:styleId="Fore3Car">
    <w:name w:val="Fore 3 Car"/>
    <w:basedOn w:val="Ttulo1Car"/>
    <w:rPr>
      <w:rFonts w:ascii="Arial" w:eastAsia="Calibri" w:hAnsi="Arial" w:cs="Times New Roman"/>
      <w:b/>
      <w:color w:val="DF5B61"/>
      <w:w w:val="105"/>
      <w:sz w:val="24"/>
      <w:szCs w:val="28"/>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912</Words>
  <Characters>5018</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Foresta Gran Canaria</dc:creator>
  <dc:description/>
  <cp:lastModifiedBy>LOLA CARRASCOSA CHISVERT</cp:lastModifiedBy>
  <cp:revision>4</cp:revision>
  <cp:lastPrinted>2024-04-29T13:02:00Z</cp:lastPrinted>
  <dcterms:created xsi:type="dcterms:W3CDTF">2024-04-29T13:03:00Z</dcterms:created>
  <dcterms:modified xsi:type="dcterms:W3CDTF">2024-04-30T09:01:00Z</dcterms:modified>
</cp:coreProperties>
</file>